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9B" w:rsidRDefault="0027489B" w:rsidP="0027489B">
      <w:pPr>
        <w:spacing w:before="33" w:after="8"/>
        <w:ind w:left="586"/>
        <w:jc w:val="center"/>
        <w:rPr>
          <w:b/>
          <w:sz w:val="36"/>
          <w:lang w:val="ru-RU"/>
        </w:rPr>
      </w:pPr>
      <w:r>
        <w:rPr>
          <w:b/>
          <w:noProof/>
          <w:sz w:val="3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-227330</wp:posOffset>
            </wp:positionV>
            <wp:extent cx="878840" cy="882015"/>
            <wp:effectExtent l="19050" t="0" r="0" b="0"/>
            <wp:wrapSquare wrapText="bothSides"/>
            <wp:docPr id="1" name="Рисунок 0" descr="6H2X9MmTjp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H2X9MmTjpo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489B">
        <w:rPr>
          <w:b/>
          <w:sz w:val="36"/>
          <w:lang w:val="ru-RU"/>
        </w:rPr>
        <w:t xml:space="preserve">Компенсации работникам, занятым во </w:t>
      </w:r>
      <w:proofErr w:type="gramStart"/>
      <w:r w:rsidRPr="0027489B">
        <w:rPr>
          <w:b/>
          <w:sz w:val="36"/>
          <w:lang w:val="ru-RU"/>
        </w:rPr>
        <w:t>вредных</w:t>
      </w:r>
      <w:proofErr w:type="gramEnd"/>
      <w:r w:rsidRPr="0027489B">
        <w:rPr>
          <w:b/>
          <w:sz w:val="36"/>
          <w:lang w:val="ru-RU"/>
        </w:rPr>
        <w:t xml:space="preserve"> и опасных </w:t>
      </w:r>
    </w:p>
    <w:p w:rsidR="00703E40" w:rsidRDefault="0027489B" w:rsidP="0027489B">
      <w:pPr>
        <w:spacing w:before="33" w:after="8"/>
        <w:ind w:left="586"/>
        <w:jc w:val="center"/>
        <w:rPr>
          <w:b/>
          <w:sz w:val="36"/>
          <w:lang w:val="ru-RU"/>
        </w:rPr>
      </w:pPr>
      <w:proofErr w:type="gramStart"/>
      <w:r w:rsidRPr="0027489B">
        <w:rPr>
          <w:b/>
          <w:sz w:val="36"/>
          <w:lang w:val="ru-RU"/>
        </w:rPr>
        <w:t>условиях</w:t>
      </w:r>
      <w:proofErr w:type="gramEnd"/>
      <w:r w:rsidRPr="0027489B">
        <w:rPr>
          <w:b/>
          <w:sz w:val="36"/>
          <w:lang w:val="ru-RU"/>
        </w:rPr>
        <w:t xml:space="preserve"> труда</w:t>
      </w:r>
    </w:p>
    <w:p w:rsidR="0027489B" w:rsidRPr="0027489B" w:rsidRDefault="0027489B">
      <w:pPr>
        <w:spacing w:before="33" w:after="8"/>
        <w:ind w:left="586"/>
        <w:rPr>
          <w:b/>
          <w:sz w:val="36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2"/>
        <w:gridCol w:w="8082"/>
      </w:tblGrid>
      <w:tr w:rsidR="00703E40">
        <w:trPr>
          <w:trHeight w:hRule="exact" w:val="495"/>
        </w:trPr>
        <w:tc>
          <w:tcPr>
            <w:tcW w:w="6522" w:type="dxa"/>
          </w:tcPr>
          <w:p w:rsidR="00703E40" w:rsidRDefault="0027489B">
            <w:pPr>
              <w:pStyle w:val="TableParagraph"/>
              <w:spacing w:before="101"/>
              <w:ind w:left="20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компенсаций</w:t>
            </w:r>
            <w:proofErr w:type="spellEnd"/>
          </w:p>
        </w:tc>
        <w:tc>
          <w:tcPr>
            <w:tcW w:w="8082" w:type="dxa"/>
          </w:tcPr>
          <w:p w:rsidR="00703E40" w:rsidRDefault="0027489B">
            <w:pPr>
              <w:pStyle w:val="TableParagraph"/>
              <w:spacing w:before="101"/>
              <w:ind w:left="3059" w:right="30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положены</w:t>
            </w:r>
            <w:proofErr w:type="spellEnd"/>
          </w:p>
        </w:tc>
      </w:tr>
      <w:tr w:rsidR="00703E40" w:rsidRPr="0027489B" w:rsidTr="0027489B">
        <w:trPr>
          <w:trHeight w:hRule="exact" w:val="998"/>
        </w:trPr>
        <w:tc>
          <w:tcPr>
            <w:tcW w:w="6522" w:type="dxa"/>
          </w:tcPr>
          <w:p w:rsidR="00703E40" w:rsidRDefault="0027489B">
            <w:pPr>
              <w:pStyle w:val="TableParagraph"/>
              <w:tabs>
                <w:tab w:val="left" w:pos="2400"/>
                <w:tab w:val="left" w:pos="5257"/>
              </w:tabs>
              <w:spacing w:before="194" w:line="276" w:lineRule="exact"/>
              <w:ind w:right="232"/>
              <w:rPr>
                <w:sz w:val="16"/>
              </w:rPr>
            </w:pPr>
            <w:r w:rsidRPr="0027489B">
              <w:rPr>
                <w:sz w:val="24"/>
                <w:lang w:val="ru-RU"/>
              </w:rPr>
              <w:t>Сокращенная</w:t>
            </w:r>
            <w:r w:rsidRPr="0027489B">
              <w:rPr>
                <w:sz w:val="24"/>
                <w:lang w:val="ru-RU"/>
              </w:rPr>
              <w:tab/>
              <w:t>продолжительность</w:t>
            </w:r>
            <w:r w:rsidRPr="0027489B">
              <w:rPr>
                <w:sz w:val="24"/>
                <w:lang w:val="ru-RU"/>
              </w:rPr>
              <w:tab/>
              <w:t xml:space="preserve">рабочего времени – не более 36 часов в неделю </w:t>
            </w:r>
            <w:r>
              <w:rPr>
                <w:sz w:val="24"/>
              </w:rPr>
              <w:t>(</w:t>
            </w:r>
            <w:proofErr w:type="spellStart"/>
            <w:r w:rsidR="00703E40">
              <w:fldChar w:fldCharType="begin"/>
            </w:r>
            <w:r w:rsidR="00703E40">
              <w:instrText>HYPERLINK "http://vip.1otruda.ru/%23/document/99/901807664/ZA00M7U2NB/" \h</w:instrText>
            </w:r>
            <w:r w:rsidR="00703E40">
              <w:fldChar w:fldCharType="separate"/>
            </w:r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>. 92</w:t>
            </w:r>
            <w:r w:rsidR="00703E40">
              <w:fldChar w:fldCharType="end"/>
            </w:r>
            <w:r>
              <w:rPr>
                <w:sz w:val="24"/>
              </w:rPr>
              <w:t>ТК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  <w:r>
              <w:rPr>
                <w:position w:val="8"/>
                <w:sz w:val="16"/>
              </w:rPr>
              <w:t>1</w:t>
            </w:r>
          </w:p>
        </w:tc>
        <w:tc>
          <w:tcPr>
            <w:tcW w:w="8082" w:type="dxa"/>
          </w:tcPr>
          <w:p w:rsidR="00703E40" w:rsidRPr="0027489B" w:rsidRDefault="0027489B">
            <w:pPr>
              <w:pStyle w:val="TableParagraph"/>
              <w:ind w:left="237" w:right="286"/>
              <w:rPr>
                <w:sz w:val="24"/>
                <w:lang w:val="ru-RU"/>
              </w:rPr>
            </w:pPr>
            <w:r w:rsidRPr="0027489B">
              <w:rPr>
                <w:sz w:val="24"/>
                <w:lang w:val="ru-RU"/>
              </w:rPr>
              <w:t xml:space="preserve">Работникам, </w:t>
            </w:r>
            <w:proofErr w:type="gramStart"/>
            <w:r w:rsidRPr="0027489B">
              <w:rPr>
                <w:sz w:val="24"/>
                <w:lang w:val="ru-RU"/>
              </w:rPr>
              <w:t>рабочее</w:t>
            </w:r>
            <w:proofErr w:type="gramEnd"/>
            <w:r w:rsidRPr="0027489B">
              <w:rPr>
                <w:sz w:val="24"/>
                <w:lang w:val="ru-RU"/>
              </w:rPr>
              <w:t xml:space="preserve">  место  которых  относится  к подклассу  3.3  и 3.4, а также классу опасных условий</w:t>
            </w:r>
            <w:r w:rsidRPr="0027489B">
              <w:rPr>
                <w:spacing w:val="-14"/>
                <w:sz w:val="24"/>
                <w:lang w:val="ru-RU"/>
              </w:rPr>
              <w:t xml:space="preserve"> </w:t>
            </w:r>
            <w:r w:rsidRPr="0027489B">
              <w:rPr>
                <w:sz w:val="24"/>
                <w:lang w:val="ru-RU"/>
              </w:rPr>
              <w:t>труда</w:t>
            </w:r>
          </w:p>
        </w:tc>
      </w:tr>
      <w:tr w:rsidR="00703E40" w:rsidRPr="0027489B">
        <w:trPr>
          <w:trHeight w:hRule="exact" w:val="946"/>
        </w:trPr>
        <w:tc>
          <w:tcPr>
            <w:tcW w:w="6522" w:type="dxa"/>
          </w:tcPr>
          <w:p w:rsidR="00703E40" w:rsidRPr="0027489B" w:rsidRDefault="0027489B">
            <w:pPr>
              <w:pStyle w:val="TableParagraph"/>
              <w:spacing w:before="192" w:line="276" w:lineRule="exact"/>
              <w:rPr>
                <w:sz w:val="16"/>
                <w:lang w:val="ru-RU"/>
              </w:rPr>
            </w:pPr>
            <w:r w:rsidRPr="0027489B">
              <w:rPr>
                <w:sz w:val="24"/>
                <w:lang w:val="ru-RU"/>
              </w:rPr>
              <w:t>Ежегодный дополнительный оплачиваемый отпуск – не менее семи календарных дней (</w:t>
            </w:r>
            <w:hyperlink r:id="rId5">
              <w:r w:rsidRPr="0027489B">
                <w:rPr>
                  <w:sz w:val="24"/>
                  <w:lang w:val="ru-RU"/>
                </w:rPr>
                <w:t>ст. 117</w:t>
              </w:r>
            </w:hyperlink>
            <w:r w:rsidRPr="0027489B">
              <w:rPr>
                <w:sz w:val="24"/>
                <w:lang w:val="ru-RU"/>
              </w:rPr>
              <w:t>ТК РФ)</w:t>
            </w:r>
            <w:r w:rsidRPr="0027489B">
              <w:rPr>
                <w:position w:val="8"/>
                <w:sz w:val="16"/>
                <w:lang w:val="ru-RU"/>
              </w:rPr>
              <w:t>2</w:t>
            </w:r>
          </w:p>
        </w:tc>
        <w:tc>
          <w:tcPr>
            <w:tcW w:w="8082" w:type="dxa"/>
          </w:tcPr>
          <w:p w:rsidR="00703E40" w:rsidRPr="0027489B" w:rsidRDefault="0027489B">
            <w:pPr>
              <w:pStyle w:val="TableParagraph"/>
              <w:spacing w:before="187"/>
              <w:ind w:left="237" w:right="286"/>
              <w:rPr>
                <w:sz w:val="24"/>
                <w:lang w:val="ru-RU"/>
              </w:rPr>
            </w:pPr>
            <w:r w:rsidRPr="0027489B">
              <w:rPr>
                <w:sz w:val="24"/>
                <w:lang w:val="ru-RU"/>
              </w:rPr>
              <w:t>Всем работникам, занятым во вредных и опасных условиях труда кроме подкласса 3.1</w:t>
            </w:r>
          </w:p>
        </w:tc>
      </w:tr>
      <w:tr w:rsidR="00703E40" w:rsidRPr="0027489B" w:rsidTr="0027489B">
        <w:trPr>
          <w:trHeight w:hRule="exact" w:val="758"/>
        </w:trPr>
        <w:tc>
          <w:tcPr>
            <w:tcW w:w="6522" w:type="dxa"/>
          </w:tcPr>
          <w:p w:rsidR="00703E40" w:rsidRDefault="0027489B">
            <w:pPr>
              <w:pStyle w:val="TableParagraph"/>
              <w:tabs>
                <w:tab w:val="left" w:pos="1794"/>
                <w:tab w:val="left" w:pos="2840"/>
                <w:tab w:val="left" w:pos="3706"/>
                <w:tab w:val="left" w:pos="4068"/>
                <w:tab w:val="left" w:pos="5325"/>
                <w:tab w:val="left" w:pos="5901"/>
              </w:tabs>
              <w:spacing w:before="192" w:line="276" w:lineRule="exact"/>
              <w:ind w:right="231"/>
              <w:rPr>
                <w:sz w:val="16"/>
              </w:rPr>
            </w:pPr>
            <w:r w:rsidRPr="0027489B">
              <w:rPr>
                <w:sz w:val="24"/>
                <w:lang w:val="ru-RU"/>
              </w:rPr>
              <w:t>Повышение</w:t>
            </w:r>
            <w:r w:rsidRPr="0027489B">
              <w:rPr>
                <w:sz w:val="24"/>
                <w:lang w:val="ru-RU"/>
              </w:rPr>
              <w:tab/>
              <w:t>оплаты</w:t>
            </w:r>
            <w:r w:rsidRPr="0027489B">
              <w:rPr>
                <w:sz w:val="24"/>
                <w:lang w:val="ru-RU"/>
              </w:rPr>
              <w:tab/>
              <w:t>труда</w:t>
            </w:r>
            <w:r w:rsidRPr="0027489B">
              <w:rPr>
                <w:sz w:val="24"/>
                <w:lang w:val="ru-RU"/>
              </w:rPr>
              <w:tab/>
              <w:t>–</w:t>
            </w:r>
            <w:r w:rsidRPr="0027489B">
              <w:rPr>
                <w:sz w:val="24"/>
                <w:lang w:val="ru-RU"/>
              </w:rPr>
              <w:tab/>
              <w:t>не</w:t>
            </w:r>
            <w:r w:rsidRPr="0027489B">
              <w:rPr>
                <w:spacing w:val="-1"/>
                <w:sz w:val="24"/>
                <w:lang w:val="ru-RU"/>
              </w:rPr>
              <w:t xml:space="preserve"> </w:t>
            </w:r>
            <w:r w:rsidRPr="0027489B">
              <w:rPr>
                <w:sz w:val="24"/>
                <w:lang w:val="ru-RU"/>
              </w:rPr>
              <w:t>менее</w:t>
            </w:r>
            <w:r w:rsidRPr="0027489B">
              <w:rPr>
                <w:sz w:val="24"/>
                <w:lang w:val="ru-RU"/>
              </w:rPr>
              <w:tab/>
              <w:t>4%</w:t>
            </w:r>
            <w:r w:rsidRPr="0027489B">
              <w:rPr>
                <w:sz w:val="24"/>
                <w:lang w:val="ru-RU"/>
              </w:rPr>
              <w:tab/>
              <w:t>(</w:t>
            </w:r>
            <w:hyperlink r:id="rId6">
              <w:r w:rsidRPr="0027489B">
                <w:rPr>
                  <w:sz w:val="24"/>
                  <w:lang w:val="ru-RU"/>
                </w:rPr>
                <w:t>ст.</w:t>
              </w:r>
            </w:hyperlink>
            <w:r w:rsidRPr="0027489B">
              <w:rPr>
                <w:sz w:val="24"/>
                <w:lang w:val="ru-RU"/>
              </w:rPr>
              <w:t xml:space="preserve"> </w:t>
            </w:r>
            <w:hyperlink r:id="rId7">
              <w:r>
                <w:rPr>
                  <w:sz w:val="24"/>
                </w:rPr>
                <w:t>147</w:t>
              </w:r>
            </w:hyperlink>
            <w:r>
              <w:rPr>
                <w:sz w:val="24"/>
              </w:rPr>
              <w:t>ТК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  <w:r>
              <w:rPr>
                <w:position w:val="8"/>
                <w:sz w:val="16"/>
              </w:rPr>
              <w:t>3</w:t>
            </w:r>
          </w:p>
        </w:tc>
        <w:tc>
          <w:tcPr>
            <w:tcW w:w="8082" w:type="dxa"/>
          </w:tcPr>
          <w:p w:rsidR="00703E40" w:rsidRPr="0027489B" w:rsidRDefault="0027489B">
            <w:pPr>
              <w:pStyle w:val="TableParagraph"/>
              <w:spacing w:before="188"/>
              <w:ind w:left="237" w:right="286"/>
              <w:rPr>
                <w:sz w:val="24"/>
                <w:lang w:val="ru-RU"/>
              </w:rPr>
            </w:pPr>
            <w:r w:rsidRPr="0027489B">
              <w:rPr>
                <w:sz w:val="24"/>
                <w:lang w:val="ru-RU"/>
              </w:rPr>
              <w:t>Всем работникам, занятым во вредных и опасных условиях труда</w:t>
            </w:r>
          </w:p>
        </w:tc>
      </w:tr>
      <w:tr w:rsidR="00703E40">
        <w:trPr>
          <w:trHeight w:hRule="exact" w:val="1222"/>
        </w:trPr>
        <w:tc>
          <w:tcPr>
            <w:tcW w:w="6522" w:type="dxa"/>
          </w:tcPr>
          <w:p w:rsidR="00703E40" w:rsidRPr="0027489B" w:rsidRDefault="0027489B">
            <w:pPr>
              <w:pStyle w:val="TableParagraph"/>
              <w:ind w:right="235"/>
              <w:jc w:val="both"/>
              <w:rPr>
                <w:sz w:val="24"/>
                <w:lang w:val="ru-RU"/>
              </w:rPr>
            </w:pPr>
            <w:r w:rsidRPr="0027489B">
              <w:rPr>
                <w:sz w:val="24"/>
                <w:lang w:val="ru-RU"/>
              </w:rPr>
              <w:t>Молоко или другие равноценные пищевые продукты (по письменному заявлению работника можно заменить денежной компенсацией)</w:t>
            </w:r>
          </w:p>
        </w:tc>
        <w:tc>
          <w:tcPr>
            <w:tcW w:w="8082" w:type="dxa"/>
          </w:tcPr>
          <w:p w:rsidR="00703E40" w:rsidRDefault="0027489B">
            <w:pPr>
              <w:pStyle w:val="TableParagraph"/>
              <w:ind w:left="237" w:right="230"/>
              <w:jc w:val="both"/>
              <w:rPr>
                <w:sz w:val="24"/>
              </w:rPr>
            </w:pPr>
            <w:r w:rsidRPr="0027489B">
              <w:rPr>
                <w:sz w:val="24"/>
                <w:lang w:val="ru-RU"/>
              </w:rPr>
              <w:t>Всем работникам, на которых воздействуют вредные производственные  факторы   (</w:t>
            </w:r>
            <w:hyperlink r:id="rId8">
              <w:r w:rsidRPr="0027489B">
                <w:rPr>
                  <w:sz w:val="24"/>
                  <w:lang w:val="ru-RU"/>
                </w:rPr>
                <w:t xml:space="preserve">ст.   </w:t>
              </w:r>
              <w:r>
                <w:rPr>
                  <w:sz w:val="24"/>
                </w:rPr>
                <w:t>222</w:t>
              </w:r>
            </w:hyperlink>
            <w:r>
              <w:rPr>
                <w:sz w:val="24"/>
              </w:rPr>
              <w:t xml:space="preserve"> ТК РФ, </w:t>
            </w:r>
            <w:hyperlink r:id="rId9">
              <w:proofErr w:type="spellStart"/>
              <w:r>
                <w:rPr>
                  <w:sz w:val="24"/>
                </w:rPr>
                <w:t>приложение</w:t>
              </w:r>
              <w:proofErr w:type="spellEnd"/>
              <w:r>
                <w:rPr>
                  <w:sz w:val="24"/>
                </w:rPr>
                <w:t xml:space="preserve">   №   3</w:t>
              </w:r>
            </w:hyperlink>
            <w:r>
              <w:rPr>
                <w:sz w:val="24"/>
              </w:rPr>
              <w:t xml:space="preserve">  к </w:t>
            </w:r>
            <w:proofErr w:type="spellStart"/>
            <w:r>
              <w:rPr>
                <w:sz w:val="24"/>
              </w:rPr>
              <w:t>приказу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Минздравсоцразвития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16.02.2009 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45н)</w:t>
            </w:r>
          </w:p>
        </w:tc>
      </w:tr>
      <w:tr w:rsidR="00703E40" w:rsidRPr="0027489B">
        <w:trPr>
          <w:trHeight w:hRule="exact" w:val="1224"/>
        </w:trPr>
        <w:tc>
          <w:tcPr>
            <w:tcW w:w="6522" w:type="dxa"/>
          </w:tcPr>
          <w:p w:rsidR="00703E40" w:rsidRDefault="0027489B">
            <w:pPr>
              <w:pStyle w:val="TableParagraph"/>
              <w:ind w:right="231"/>
              <w:jc w:val="both"/>
              <w:rPr>
                <w:sz w:val="24"/>
              </w:rPr>
            </w:pPr>
            <w:r w:rsidRPr="0027489B">
              <w:rPr>
                <w:sz w:val="24"/>
                <w:lang w:val="ru-RU"/>
              </w:rPr>
              <w:t>Бесплатное лечебно-профилактическое питание (</w:t>
            </w:r>
            <w:hyperlink r:id="rId10">
              <w:r w:rsidRPr="0027489B">
                <w:rPr>
                  <w:sz w:val="24"/>
                  <w:lang w:val="ru-RU"/>
                </w:rPr>
                <w:t>ст.</w:t>
              </w:r>
            </w:hyperlink>
            <w:r w:rsidRPr="0027489B">
              <w:rPr>
                <w:sz w:val="24"/>
                <w:lang w:val="ru-RU"/>
              </w:rPr>
              <w:t xml:space="preserve"> </w:t>
            </w:r>
            <w:hyperlink r:id="rId11">
              <w:r>
                <w:rPr>
                  <w:sz w:val="24"/>
                </w:rPr>
                <w:t>222</w:t>
              </w:r>
            </w:hyperlink>
            <w:r>
              <w:rPr>
                <w:sz w:val="24"/>
              </w:rPr>
              <w:t xml:space="preserve"> ТК РФ, </w:t>
            </w:r>
            <w:hyperlink r:id="rId12">
              <w:proofErr w:type="spellStart"/>
              <w:r>
                <w:rPr>
                  <w:sz w:val="24"/>
                </w:rPr>
                <w:t>приказ</w:t>
              </w:r>
              <w:proofErr w:type="spellEnd"/>
              <w:r>
                <w:rPr>
                  <w:sz w:val="24"/>
                </w:rPr>
                <w:t xml:space="preserve">   </w:t>
              </w:r>
              <w:proofErr w:type="spellStart"/>
              <w:r>
                <w:rPr>
                  <w:sz w:val="24"/>
                </w:rPr>
                <w:t>Минздравсоцразвития</w:t>
              </w:r>
              <w:proofErr w:type="spellEnd"/>
              <w:r>
                <w:rPr>
                  <w:sz w:val="24"/>
                </w:rPr>
                <w:t xml:space="preserve">    </w:t>
              </w:r>
              <w:proofErr w:type="spellStart"/>
              <w:r>
                <w:rPr>
                  <w:sz w:val="24"/>
                </w:rPr>
                <w:t>России</w:t>
              </w:r>
              <w:proofErr w:type="spellEnd"/>
            </w:hyperlink>
            <w:r>
              <w:rPr>
                <w:sz w:val="24"/>
              </w:rPr>
              <w:t xml:space="preserve"> </w:t>
            </w:r>
            <w:hyperlink r:id="rId13">
              <w:proofErr w:type="spellStart"/>
              <w:r>
                <w:rPr>
                  <w:sz w:val="24"/>
                </w:rPr>
                <w:t>от</w:t>
              </w:r>
              <w:proofErr w:type="spellEnd"/>
              <w:r>
                <w:rPr>
                  <w:sz w:val="24"/>
                </w:rPr>
                <w:t xml:space="preserve"> 16.02.2009 № 46н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8082" w:type="dxa"/>
          </w:tcPr>
          <w:p w:rsidR="00703E40" w:rsidRPr="0027489B" w:rsidRDefault="0027489B">
            <w:pPr>
              <w:pStyle w:val="TableParagraph"/>
              <w:ind w:left="237" w:right="232"/>
              <w:jc w:val="both"/>
              <w:rPr>
                <w:sz w:val="24"/>
                <w:lang w:val="ru-RU"/>
              </w:rPr>
            </w:pPr>
            <w:r w:rsidRPr="0027489B">
              <w:rPr>
                <w:sz w:val="24"/>
                <w:lang w:val="ru-RU"/>
              </w:rPr>
              <w:t>Работникам, которые входят в перечень производств, профессий   и должностей (</w:t>
            </w:r>
            <w:hyperlink r:id="rId14">
              <w:r w:rsidRPr="0027489B">
                <w:rPr>
                  <w:sz w:val="24"/>
                  <w:lang w:val="ru-RU"/>
                </w:rPr>
                <w:t>приложение № 4</w:t>
              </w:r>
            </w:hyperlink>
            <w:r w:rsidRPr="0027489B">
              <w:rPr>
                <w:sz w:val="24"/>
                <w:lang w:val="ru-RU"/>
              </w:rPr>
              <w:t xml:space="preserve"> к приказу </w:t>
            </w:r>
            <w:proofErr w:type="spellStart"/>
            <w:r w:rsidRPr="0027489B">
              <w:rPr>
                <w:sz w:val="24"/>
                <w:lang w:val="ru-RU"/>
              </w:rPr>
              <w:t>Минздравсоцразвития</w:t>
            </w:r>
            <w:proofErr w:type="spellEnd"/>
            <w:r w:rsidRPr="0027489B">
              <w:rPr>
                <w:sz w:val="24"/>
                <w:lang w:val="ru-RU"/>
              </w:rPr>
              <w:t xml:space="preserve"> России от 16.02.2009 №</w:t>
            </w:r>
            <w:r w:rsidRPr="0027489B">
              <w:rPr>
                <w:spacing w:val="-11"/>
                <w:sz w:val="24"/>
                <w:lang w:val="ru-RU"/>
              </w:rPr>
              <w:t xml:space="preserve"> </w:t>
            </w:r>
            <w:r w:rsidRPr="0027489B">
              <w:rPr>
                <w:sz w:val="24"/>
                <w:lang w:val="ru-RU"/>
              </w:rPr>
              <w:t>46н)</w:t>
            </w:r>
          </w:p>
        </w:tc>
      </w:tr>
      <w:tr w:rsidR="00703E40" w:rsidRPr="0027489B">
        <w:trPr>
          <w:trHeight w:hRule="exact" w:val="1222"/>
        </w:trPr>
        <w:tc>
          <w:tcPr>
            <w:tcW w:w="6522" w:type="dxa"/>
          </w:tcPr>
          <w:p w:rsidR="00703E40" w:rsidRPr="0027489B" w:rsidRDefault="0027489B">
            <w:pPr>
              <w:pStyle w:val="TableParagraph"/>
              <w:tabs>
                <w:tab w:val="left" w:pos="2155"/>
                <w:tab w:val="left" w:pos="2975"/>
                <w:tab w:val="left" w:pos="5278"/>
              </w:tabs>
              <w:spacing w:before="187"/>
              <w:rPr>
                <w:sz w:val="24"/>
                <w:lang w:val="ru-RU"/>
              </w:rPr>
            </w:pPr>
            <w:r w:rsidRPr="0027489B">
              <w:rPr>
                <w:sz w:val="24"/>
                <w:lang w:val="ru-RU"/>
              </w:rPr>
              <w:t>Повышенные</w:t>
            </w:r>
            <w:r w:rsidRPr="0027489B">
              <w:rPr>
                <w:sz w:val="24"/>
                <w:lang w:val="ru-RU"/>
              </w:rPr>
              <w:tab/>
              <w:t>или</w:t>
            </w:r>
            <w:r w:rsidRPr="0027489B">
              <w:rPr>
                <w:sz w:val="24"/>
                <w:lang w:val="ru-RU"/>
              </w:rPr>
              <w:tab/>
              <w:t>дополнительные</w:t>
            </w:r>
            <w:r w:rsidRPr="0027489B">
              <w:rPr>
                <w:sz w:val="24"/>
                <w:lang w:val="ru-RU"/>
              </w:rPr>
              <w:tab/>
              <w:t>гарантии и</w:t>
            </w:r>
            <w:r w:rsidRPr="0027489B">
              <w:rPr>
                <w:spacing w:val="-3"/>
                <w:sz w:val="24"/>
                <w:lang w:val="ru-RU"/>
              </w:rPr>
              <w:t xml:space="preserve"> </w:t>
            </w:r>
            <w:r w:rsidRPr="0027489B">
              <w:rPr>
                <w:sz w:val="24"/>
                <w:lang w:val="ru-RU"/>
              </w:rPr>
              <w:t>компенсации</w:t>
            </w:r>
          </w:p>
        </w:tc>
        <w:tc>
          <w:tcPr>
            <w:tcW w:w="8082" w:type="dxa"/>
          </w:tcPr>
          <w:p w:rsidR="00703E40" w:rsidRPr="0027489B" w:rsidRDefault="0027489B">
            <w:pPr>
              <w:pStyle w:val="TableParagraph"/>
              <w:spacing w:before="187"/>
              <w:ind w:left="237" w:right="230"/>
              <w:jc w:val="both"/>
              <w:rPr>
                <w:sz w:val="24"/>
                <w:lang w:val="ru-RU"/>
              </w:rPr>
            </w:pPr>
            <w:r w:rsidRPr="0027489B">
              <w:rPr>
                <w:sz w:val="24"/>
                <w:lang w:val="ru-RU"/>
              </w:rPr>
              <w:t>Работникам, если это установлено коллективным договором, локальным нормативным актом с учётом финансов</w:t>
            </w:r>
            <w:proofErr w:type="gramStart"/>
            <w:r w:rsidRPr="0027489B">
              <w:rPr>
                <w:sz w:val="24"/>
                <w:lang w:val="ru-RU"/>
              </w:rPr>
              <w:t>о-</w:t>
            </w:r>
            <w:proofErr w:type="gramEnd"/>
            <w:r w:rsidRPr="0027489B">
              <w:rPr>
                <w:sz w:val="24"/>
                <w:lang w:val="ru-RU"/>
              </w:rPr>
              <w:t xml:space="preserve"> экономического положения работодателя (</w:t>
            </w:r>
            <w:hyperlink r:id="rId15">
              <w:r w:rsidRPr="0027489B">
                <w:rPr>
                  <w:sz w:val="24"/>
                  <w:lang w:val="ru-RU"/>
                </w:rPr>
                <w:t>ст. 219</w:t>
              </w:r>
            </w:hyperlink>
            <w:r w:rsidRPr="0027489B">
              <w:rPr>
                <w:sz w:val="24"/>
                <w:lang w:val="ru-RU"/>
              </w:rPr>
              <w:t xml:space="preserve"> ТК РФ)</w:t>
            </w:r>
          </w:p>
        </w:tc>
      </w:tr>
    </w:tbl>
    <w:p w:rsidR="00703E40" w:rsidRPr="0027489B" w:rsidRDefault="0027489B">
      <w:pPr>
        <w:pStyle w:val="a3"/>
        <w:ind w:left="112" w:right="148"/>
        <w:jc w:val="both"/>
        <w:rPr>
          <w:lang w:val="ru-RU"/>
        </w:rPr>
      </w:pPr>
      <w:r w:rsidRPr="0027489B">
        <w:rPr>
          <w:position w:val="8"/>
          <w:sz w:val="16"/>
          <w:lang w:val="ru-RU"/>
        </w:rPr>
        <w:t xml:space="preserve">1 </w:t>
      </w:r>
      <w:r w:rsidRPr="0027489B">
        <w:rPr>
          <w:lang w:val="ru-RU"/>
        </w:rPr>
        <w:t>Продолжительность рабочего времени может быть увеличена, но не более чем до 40 часов в неделю. При этом работнику необходимо выплачивать денежную компенсацию, которую устанавливают на основании отраслевого (межотраслевого) соглашения, коллективного договор</w:t>
      </w:r>
      <w:r w:rsidRPr="0027489B">
        <w:rPr>
          <w:lang w:val="ru-RU"/>
        </w:rPr>
        <w:t>а и дополнительного соглашения к трудовому договору.</w:t>
      </w:r>
    </w:p>
    <w:p w:rsidR="00703E40" w:rsidRPr="0027489B" w:rsidRDefault="0027489B">
      <w:pPr>
        <w:pStyle w:val="a3"/>
        <w:ind w:left="112" w:right="149"/>
        <w:jc w:val="both"/>
        <w:rPr>
          <w:lang w:val="ru-RU"/>
        </w:rPr>
      </w:pPr>
      <w:r w:rsidRPr="0027489B">
        <w:rPr>
          <w:position w:val="8"/>
          <w:sz w:val="16"/>
          <w:lang w:val="ru-RU"/>
        </w:rPr>
        <w:t xml:space="preserve">2 </w:t>
      </w:r>
      <w:r w:rsidRPr="0027489B">
        <w:rPr>
          <w:lang w:val="ru-RU"/>
        </w:rPr>
        <w:t xml:space="preserve">Часть ежегодного дополнительного оплачиваемого отпуска, которая превышает минимальную продолжительность, можно заменить денежной компенсацией. Ее устанавливают на </w:t>
      </w:r>
      <w:proofErr w:type="gramStart"/>
      <w:r w:rsidRPr="0027489B">
        <w:rPr>
          <w:lang w:val="ru-RU"/>
        </w:rPr>
        <w:t>основании</w:t>
      </w:r>
      <w:proofErr w:type="gramEnd"/>
      <w:r w:rsidRPr="0027489B">
        <w:rPr>
          <w:lang w:val="ru-RU"/>
        </w:rPr>
        <w:t xml:space="preserve"> отраслевого (межотраслевого)</w:t>
      </w:r>
      <w:r w:rsidRPr="0027489B">
        <w:rPr>
          <w:lang w:val="ru-RU"/>
        </w:rPr>
        <w:t xml:space="preserve"> соглашения и коллективных договоров, а также письменного согласия работника. Согласие оформляют отдельным соглашением к трудовому договору.</w:t>
      </w:r>
    </w:p>
    <w:p w:rsidR="00703E40" w:rsidRPr="0027489B" w:rsidRDefault="0027489B" w:rsidP="0027489B">
      <w:pPr>
        <w:spacing w:line="274" w:lineRule="exact"/>
        <w:ind w:left="112"/>
        <w:jc w:val="both"/>
        <w:rPr>
          <w:i/>
          <w:sz w:val="24"/>
          <w:lang w:val="ru-RU"/>
        </w:rPr>
      </w:pPr>
      <w:r w:rsidRPr="0027489B">
        <w:rPr>
          <w:position w:val="8"/>
          <w:sz w:val="16"/>
          <w:lang w:val="ru-RU"/>
        </w:rPr>
        <w:t xml:space="preserve">3 </w:t>
      </w:r>
      <w:r w:rsidRPr="0027489B">
        <w:rPr>
          <w:i/>
          <w:sz w:val="24"/>
          <w:lang w:val="ru-RU"/>
        </w:rPr>
        <w:t>Конкретные размеры повышения оплаты труда устанавливает работодатель с учетом мнения профсоюза.</w:t>
      </w:r>
    </w:p>
    <w:p w:rsidR="00703E40" w:rsidRPr="0027489B" w:rsidRDefault="00703E40">
      <w:pPr>
        <w:pStyle w:val="a3"/>
        <w:spacing w:before="2"/>
        <w:rPr>
          <w:i/>
          <w:sz w:val="22"/>
          <w:lang w:val="ru-RU"/>
        </w:rPr>
      </w:pPr>
    </w:p>
    <w:p w:rsidR="00703E40" w:rsidRPr="0027489B" w:rsidRDefault="0027489B">
      <w:pPr>
        <w:ind w:left="112"/>
        <w:jc w:val="both"/>
        <w:rPr>
          <w:i/>
          <w:sz w:val="20"/>
          <w:lang w:val="ru-RU"/>
        </w:rPr>
      </w:pPr>
      <w:r w:rsidRPr="0027489B">
        <w:rPr>
          <w:i/>
          <w:sz w:val="20"/>
          <w:lang w:val="ru-RU"/>
        </w:rPr>
        <w:t>© Журнал "Справочник специалиста по охране труда" № 3, 2017.</w:t>
      </w:r>
    </w:p>
    <w:sectPr w:rsidR="00703E40" w:rsidRPr="0027489B" w:rsidSect="00703E40">
      <w:type w:val="continuous"/>
      <w:pgSz w:w="16840" w:h="11910" w:orient="landscape"/>
      <w:pgMar w:top="520" w:right="98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03E40"/>
    <w:rsid w:val="0027489B"/>
    <w:rsid w:val="0070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3E40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E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3E40"/>
    <w:rPr>
      <w:sz w:val="24"/>
      <w:szCs w:val="24"/>
    </w:rPr>
  </w:style>
  <w:style w:type="paragraph" w:styleId="a4">
    <w:name w:val="List Paragraph"/>
    <w:basedOn w:val="a"/>
    <w:uiPriority w:val="1"/>
    <w:qFormat/>
    <w:rsid w:val="00703E40"/>
  </w:style>
  <w:style w:type="paragraph" w:customStyle="1" w:styleId="TableParagraph">
    <w:name w:val="Table Paragraph"/>
    <w:basedOn w:val="a"/>
    <w:uiPriority w:val="1"/>
    <w:qFormat/>
    <w:rsid w:val="00703E40"/>
    <w:pPr>
      <w:spacing w:before="190"/>
      <w:ind w:left="235" w:right="233"/>
    </w:pPr>
  </w:style>
  <w:style w:type="paragraph" w:styleId="a5">
    <w:name w:val="Balloon Text"/>
    <w:basedOn w:val="a"/>
    <w:link w:val="a6"/>
    <w:uiPriority w:val="99"/>
    <w:semiHidden/>
    <w:unhideWhenUsed/>
    <w:rsid w:val="00274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9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truda.ru/%23/document/99/901807664/XA00MGU2OD/" TargetMode="External"/><Relationship Id="rId13" Type="http://schemas.openxmlformats.org/officeDocument/2006/relationships/hyperlink" Target="http://vip.1otruda.ru/%23/document/99/902153699/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p.1otruda.ru/%23/document/99/901807664/ZAP25QG3E0/" TargetMode="External"/><Relationship Id="rId12" Type="http://schemas.openxmlformats.org/officeDocument/2006/relationships/hyperlink" Target="http://vip.1otruda.ru/%23/document/99/902153699/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ip.1otruda.ru/%23/document/99/901807664/ZAP25QG3E0/" TargetMode="External"/><Relationship Id="rId11" Type="http://schemas.openxmlformats.org/officeDocument/2006/relationships/hyperlink" Target="http://vip.1otruda.ru/%23/document/99/901807664/XA00MGU2OD/" TargetMode="External"/><Relationship Id="rId5" Type="http://schemas.openxmlformats.org/officeDocument/2006/relationships/hyperlink" Target="http://vip.1otruda.ru/%23/document/99/901807664/XA00MFI2O9/" TargetMode="External"/><Relationship Id="rId15" Type="http://schemas.openxmlformats.org/officeDocument/2006/relationships/hyperlink" Target="http://vip.1otruda.ru/%23/document/99/901807664/XA00RN82OT/" TargetMode="External"/><Relationship Id="rId10" Type="http://schemas.openxmlformats.org/officeDocument/2006/relationships/hyperlink" Target="http://vip.1otruda.ru/%23/document/99/901807664/XA00MGU2OD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vip.1otruda.ru/%23/document/99/902153698/XA00MA42N8/" TargetMode="External"/><Relationship Id="rId14" Type="http://schemas.openxmlformats.org/officeDocument/2006/relationships/hyperlink" Target="http://vip.1otruda.ru/%23/document/99/902153699/XA00MA62N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2017-06-26T04:40:00Z</dcterms:created>
  <dcterms:modified xsi:type="dcterms:W3CDTF">2017-06-26T04:43:00Z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2017-06-26T00:00:00Z</vt:filetime>
  </property>
</Properties>
</file>